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Response to Reviewers</w:t>
      </w:r>
    </w:p>
    <w:p>
      <w:pPr>
        <w:jc w:val="center"/>
      </w:pPr>
      <w:r>
        <w:rPr>
          <w:i/>
        </w:rPr>
        <w:t>Manuscript VEVOLU-2026-018 — “HCV Molecular Epidemiology Pipeline: A Tool for Hepatitis C Virus Sequence Clustering”</w:t>
      </w:r>
    </w:p>
    <w:p/>
    <w:p>
      <w:pPr>
        <w:spacing w:after="120"/>
      </w:pPr>
      <w:r>
        <w:t>We thank the Editor and both reviewers for their careful reading and constructive comments. We have revised the manuscript accordingly. Below we respond to each comment in turn. The reviewers' comments are shown in bold, our responses in plain text, and text added or changed in the manuscript is shown indented and in quotation marks. All changes are highlighted in the revised manuscript.</w:t>
      </w:r>
    </w:p>
    <w:p>
      <w:r>
        <w:rPr>
          <w:b/>
        </w:rPr>
        <w:t>Two manuscript-level updates.</w:t>
      </w:r>
    </w:p>
    <w:p>
      <w:pPr>
        <w:spacing w:after="120"/>
      </w:pPr>
      <w:r>
        <w:t>First, two collaborators who contributed to the generation, processing, and interpretation of the HCV sequence data have been added as co-authors, and the author list has been updated accordingly. Second, we have added the GenBank accession numbers for the HCV sequences generated in this study (Methods): “The HCV sequence data generated in this study is available in GenBank under accession numbers PX891459–PX891670.”</w:t>
      </w:r>
    </w:p>
    <w:p/>
    <w:p>
      <w:r>
        <w:rPr>
          <w:b/>
          <w:sz w:val="28"/>
        </w:rPr>
        <w:t>Reviewer 1</w:t>
      </w:r>
    </w:p>
    <w:p>
      <w:pPr>
        <w:spacing w:after="160"/>
      </w:pPr>
      <w:r>
        <w:t>“This is an important contribution to HCV research globally as well as for Mexico specifically. The method illustrated here will, in my opinion, help move the field in a positive direction. I recommend this for publication, with the exception of these minor changes.” We thank the reviewer for the positive assessment.</w:t>
      </w:r>
    </w:p>
    <w:p>
      <w:pPr>
        <w:spacing w:before="200" w:after="60"/>
      </w:pPr>
      <w:r>
        <w:rPr>
          <w:b/>
        </w:rPr>
        <w:t xml:space="preserve">Comment: </w:t>
      </w:r>
      <w:r>
        <w:rPr>
          <w:b/>
          <w:i w:val="0"/>
        </w:rPr>
        <w:t>1) This is a novel methodology and should be compared to the “gold standards.” Comparing the thresholds from other papers to those obtained from AUTO-TUNE would be valuable to readers considering whether to use this methodology.</w:t>
      </w:r>
    </w:p>
    <w:p>
      <w:pPr>
        <w:spacing w:after="80"/>
      </w:pPr>
      <w:r>
        <w:rPr>
          <w:b/>
        </w:rPr>
        <w:t xml:space="preserve">Response: </w:t>
      </w:r>
      <w:r>
        <w:t>We agree that comparison to established thresholds is valuable, and we address this at two levels. First, the threshold-selection method (AUTO-TUNE) was previously benchmarked against four independent, publicly available HCV NS5B datasets (Jia et al. 2023, Murphy et al. 2019, Paraschiv et al. 2017, Ye et al. 2023) in Weaver et al. 2024 (Table 4). Run blind on those collections, AUTO-TUNE recovered thresholds consistent with the values the original authors derived. The present study applies that benchmarked method to a new cohort.</w:t>
      </w:r>
    </w:p>
    <w:p>
      <w:pPr>
        <w:spacing w:after="80"/>
      </w:pPr>
      <w:r>
        <w:rPr>
          <w:b/>
        </w:rPr>
        <w:t xml:space="preserve">Response: </w:t>
      </w:r>
      <w:r>
        <w:t>Second, we have added a cohort-specific comparison as new Supplementary Table 2. The most directly comparable published study is Han et al. 2020 (NS5B, genotype 1a, HIV-positive MSM), which used a fixed 0.045 subs/site threshold adopted from Charre et al. 2018. Published NS5B genotype-1a thresholds themselves vary about three-fold (0.015 in Lamoury et al. 2015 versus 0.045 in Han et al. 2020), reflecting the transfer of fixed cutoffs between studies. The AUTO-TUNE value for our cohort, 0.01386 subs/site, falls within this published range. Because clustering is sensitive to the threshold, applying Han's 0.045 to our genotype-1a NS5B data yields a single 211-sequence cluster (AUTO-TUNE score −0.00832), compared with six clusters (191 of 211 sequences networked) at 0.01386.</w:t>
      </w:r>
    </w:p>
    <w:p>
      <w:pPr>
        <w:spacing w:after="80"/>
      </w:pPr>
      <w:r>
        <w:rPr>
          <w:b/>
        </w:rPr>
        <w:t xml:space="preserve">Response: </w:t>
      </w:r>
      <w:r>
        <w:t>More broadly, the AUTO-TUNE thresholds in this study span 0.00354–0.04571 subs/site (roughly 13-fold) across regions and genotypes, whereas the cited studies apply single fixed cutoffs in the 0.015–0.05 range. We note two caveats. The published thresholds are tree-based ClusterPicker cutoffs, whereas AUTO-TUNE selects a TN93 pairwise genetic-distance threshold, so we present the numeric comparison as corroborative rather than a strict equivalence. In addition, Chato et al. 2022 is an HIV-1 methods paper, which we cite as a methodological reference, while drawing HCV threshold values from Han 2020, Lamoury 2015, Jacka 2014, and Ndlovu 2025.</w:t>
      </w:r>
    </w:p>
    <w:p>
      <w:pPr>
        <w:spacing w:before="200" w:after="60"/>
      </w:pPr>
      <w:r>
        <w:rPr>
          <w:b/>
        </w:rPr>
        <w:t xml:space="preserve">Comment: </w:t>
      </w:r>
      <w:r>
        <w:rPr>
          <w:b/>
          <w:i w:val="0"/>
        </w:rPr>
        <w:t>2) You state that the method has an “optional phylogenetic analysis stage.” Why wasn't this analysis performed? I would enjoy seeing a phylogenetic tree reconstructed for one of the top-performing regions to get a better sense of how the clusters are correlated.</w:t>
      </w:r>
    </w:p>
    <w:p>
      <w:pPr>
        <w:spacing w:after="80"/>
      </w:pPr>
      <w:r>
        <w:rPr>
          <w:b/>
        </w:rPr>
        <w:t xml:space="preserve">Response: </w:t>
      </w:r>
      <w:r>
        <w:t>The phylogenetic analysis was performed. For every genotype, region, and threshold, the pipeline reconstructs a maximum-likelihood tree (FastTree, GTR), and these trees, together with the corresponding genetic-distance networks, are available interactively in the accompanying web resource (autotune.datamonkey.org/hcv). A reconstructed tree for a top-performing region such as genotype 1a NS5B can be viewed there directly. We now reference this resource in the revised manuscript.</w:t>
      </w:r>
    </w:p>
    <w:p>
      <w:pPr>
        <w:spacing w:before="200" w:after="60"/>
      </w:pPr>
      <w:r>
        <w:rPr>
          <w:b/>
        </w:rPr>
        <w:t xml:space="preserve">Comment: </w:t>
      </w:r>
      <w:r>
        <w:rPr>
          <w:b/>
          <w:i w:val="0"/>
        </w:rPr>
        <w:t>Minor (i): In the “Sequence Processing and Consensus Generation” section, was there a depth threshold for base calling? Low depth is a known cause of reversions to the reference sequence.</w:t>
      </w:r>
    </w:p>
    <w:p>
      <w:pPr>
        <w:spacing w:after="80"/>
      </w:pPr>
      <w:r>
        <w:rPr>
          <w:b/>
        </w:rPr>
        <w:t xml:space="preserve">Response: </w:t>
      </w:r>
      <w:r>
        <w:t>We clarified this point in the revised Methods. In our implementation, consensus base calling required a coverage depth of 1000–1500 reads per position, and we followed the same quality-control thresholds described in the BC Centre for Excellence protocol without modification. In that protocol, nucleotides with quality score &lt;15 were discarded during read merging, and sequences with &lt;100 reads at any key position failed downstream quality control. In addition, the validation study reported excellent concordance between the overlapping WG and MiDi amplicons in NS5B (r² &gt; 0.98), which supports the reliability of consensus base calls across overlapping regions and reduces concern that low-depth consensus artifacts were driving the assembled sequences.</w:t>
      </w:r>
    </w:p>
    <w:p>
      <w:pPr>
        <w:spacing w:before="200" w:after="60"/>
      </w:pPr>
      <w:r>
        <w:rPr>
          <w:b/>
        </w:rPr>
        <w:t xml:space="preserve">Comment: </w:t>
      </w:r>
      <w:r>
        <w:rPr>
          <w:b/>
          <w:i w:val="0"/>
        </w:rPr>
        <w:t>(ii) Genomic Region Analysis: Recombination between HCV geno/subtypes can occur. Was recombination accounted for? Since you are cross-comparing multiple regions with potentially different evolutionary histories, recombination should be accounted for.</w:t>
      </w:r>
    </w:p>
    <w:p>
      <w:pPr>
        <w:spacing w:after="80"/>
      </w:pPr>
      <w:r>
        <w:rPr>
          <w:b/>
        </w:rPr>
        <w:t xml:space="preserve">Response: </w:t>
      </w:r>
      <w:r>
        <w:t>We address this in three parts. First, the present manuscript does not report MEME, FEL, or other codon-based selection analyses. Selection detection is available only as an optional downstream stage of the pipeline and is not used in any result or conclusion presented here, so the recombination-before-selection prerequisite does not bear on our results. Second, all clustering and network analyses are performed independently within a single genomic region and within a single genotype or subtype, and no analysis concatenates regions or builds a joint tree or distance matrix spanning multiple genes. This structurally avoids the principal way recombination corrupts such analyses (forcing regions with different histories into one model), so a breakpoint outside an analysed region cannot alter that region's within-region distances or clustering. Genotype and subtype are assigned once per sequence from the whole-genome consensus, and as a supporting check we independently subtyped a 5′ region (core) and a 3′ region (NS5B) for the well-covered sequences and found no genotype discordance, consistent with a region-specific signal rather than a cross-region recombination artifact. We include this concordance check in the supplementary material. Third, we screened directly for within-region recombination. All 42 per-region and per-genotype alignments were screened with GARD (HyPhy), now reported in the Methods and in Supplementary Table 4: 27 showed at least one breakpoint, 7 showed none, and 8 were too short to screen. For the two genotype-1a genes that anchor the results, NS3 was unaffected (the two partitions are highly concordant, Pearson r = 0.94), and for NS5B a concentrated subset of 12 high-coverage sequences showed breakpoint-sensitive placement consistent with intra-NS5B recombination. The genotype-1a NS5B clustering is essentially unchanged when these 12 are excluded: the network resolves the same six clusters with and without them (191 vs. 182 networked sequences), the four mid-sized clusters are membership-identical, and the two dominant clusters persist. We therefore report the NS5B clustering as robust to the detected breakpoints, and we recommend a lightweight recombination or genotype-concordance screen as an optional pre-filter.</w:t>
      </w:r>
    </w:p>
    <w:p>
      <w:pPr>
        <w:spacing w:before="200" w:after="60"/>
      </w:pPr>
      <w:r>
        <w:rPr>
          <w:b/>
        </w:rPr>
        <w:t xml:space="preserve">Comment: </w:t>
      </w:r>
      <w:r>
        <w:rPr>
          <w:b/>
          <w:i w:val="0"/>
        </w:rPr>
        <w:t>(iii) There should be a reference for bealign or the HIV_BETWEEN_F model paper.</w:t>
      </w:r>
    </w:p>
    <w:p>
      <w:pPr>
        <w:spacing w:after="80"/>
      </w:pPr>
      <w:r>
        <w:rPr>
          <w:b/>
        </w:rPr>
        <w:t xml:space="preserve">Response: </w:t>
      </w:r>
      <w:r>
        <w:t>We added the HyPhy 2.5 reference to support the use of bealign and the HIV_BETWEEN_F model in the Methods section.</w:t>
      </w:r>
    </w:p>
    <w:p>
      <w:pPr>
        <w:spacing w:before="200" w:after="60"/>
      </w:pPr>
      <w:r>
        <w:rPr>
          <w:b/>
        </w:rPr>
        <w:t xml:space="preserve">Comment: </w:t>
      </w:r>
      <w:r>
        <w:rPr>
          <w:b/>
          <w:i w:val="0"/>
        </w:rPr>
        <w:t>(iv-a) Criticisms of phylogenetic analyses should be scaled down. “Hardly scalable” is harsh and borderline false given advances by IQ-TREE and other maximum-likelihood methods, particularly for a dataset of 286 samples. A related sentence in the Introduction should also be reworded, as the two sentences can appear contradictory (many HIV pipelines also rely on computationally demanding phylogenetic workflows).</w:t>
      </w:r>
    </w:p>
    <w:p>
      <w:pPr>
        <w:spacing w:after="80"/>
      </w:pPr>
      <w:r>
        <w:rPr>
          <w:b/>
        </w:rPr>
        <w:t xml:space="preserve">Response: </w:t>
      </w:r>
      <w:r>
        <w:t>We agree and revised the text accordingly. Rather than contrasting distance-based methods against phylogenetic approaches, we now present them as complementary strategies. We recognize that modern phylogenetic tools such as IQ-TREE and BEAST have greatly improved the scalability and accessibility of phylogenetic inference. Our rationale for including distance-based network methods is that they provide a practical approach for rapid screening and standardized surveillance workflows, with phylogenetic analysis retained as an optional downstream step.</w:t>
      </w:r>
    </w:p>
    <w:p>
      <w:pPr>
        <w:spacing w:after="120"/>
        <w:ind w:left="576"/>
      </w:pPr>
      <w:r>
        <w:rPr>
          <w:i/>
          <w:color w:val="444444"/>
        </w:rPr>
        <w:t xml:space="preserve">Revised Abstract (Background): </w:t>
      </w:r>
      <w:r>
        <w:rPr>
          <w:i/>
          <w:color w:val="444444"/>
        </w:rPr>
        <w:t>“HCV molecular epidemiology remains constrained by limited standardized tools for whole-genome sequence processing and analysis. Current surveillance workflows often rely on subgenomic sequencing or phylogenetic inference, which are highly informative but can be cumbersome for daily public health operations. As molecular surveillance becomes more established for HCV, rapid screening and automated tracking tools are needed to support standardized genomic analysis.”</w:t>
      </w:r>
    </w:p>
    <w:p>
      <w:pPr>
        <w:spacing w:after="120"/>
        <w:ind w:left="576"/>
      </w:pPr>
      <w:r>
        <w:rPr>
          <w:i/>
          <w:color w:val="444444"/>
        </w:rPr>
        <w:t xml:space="preserve">Added to Introduction: </w:t>
      </w:r>
      <w:r>
        <w:rPr>
          <w:i/>
          <w:color w:val="444444"/>
        </w:rPr>
        <w:t>“In HCV, while molecular surveillance is advancing, methodological standardization remains less mature than for other viral pathogens. Existing HCV outbreak investigations have often relied on either phylogenetic analysis or targeted sequencing of subgenomic regions such as HVR1, approaches that remain highly informative for outbreak reconstruction and confirmation. While modern phylogenetic tools have substantially improved the scalability of these evolutionary analyses, they can still be computationally demanding for daily public health operations. For routine surveillance, distance-based network methods offer a complementary strategy well-suited to rapidly screening large sequence volumes and prioritizing specific clusters for deeper phylogenetic evaluation.”</w:t>
      </w:r>
    </w:p>
    <w:p>
      <w:pPr>
        <w:spacing w:before="200" w:after="60"/>
      </w:pPr>
      <w:r>
        <w:rPr>
          <w:b/>
        </w:rPr>
        <w:t xml:space="preserve">Comment: </w:t>
      </w:r>
      <w:r>
        <w:rPr>
          <w:b/>
          <w:i w:val="0"/>
        </w:rPr>
        <w:t>(iv-b) In the Study Population section: “Approximately half of all individuals testing positive during the enrollment period were offered to participate.” How and why were they selected? Without illustrating this, it could be interpreted as a source of bias.</w:t>
      </w:r>
    </w:p>
    <w:p>
      <w:pPr>
        <w:spacing w:after="80"/>
      </w:pPr>
      <w:r>
        <w:rPr>
          <w:b/>
        </w:rPr>
        <w:t xml:space="preserve">Response: </w:t>
      </w:r>
      <w:r>
        <w:t>We revised the study population description to clarify the participant inclusion workflow. The text now specifies that individuals with a positive rapid HCV test were invited to participate, and that inclusion in the present analysis was further restricted to those with HCV viral load &gt;1,000 copies/mL, the minimum threshold required for successful near-whole-genome amplification and sequencing.</w:t>
      </w:r>
    </w:p>
    <w:p>
      <w:pPr>
        <w:spacing w:after="120"/>
        <w:ind w:left="576"/>
      </w:pPr>
      <w:r>
        <w:rPr>
          <w:i/>
          <w:color w:val="444444"/>
        </w:rPr>
        <w:t xml:space="preserve">Revised Methods: </w:t>
      </w:r>
      <w:r>
        <w:rPr>
          <w:i/>
          <w:color w:val="444444"/>
        </w:rPr>
        <w:t>“Participants were recruited at the two Condesa Clinic branches (Cuauhtémoc and Iztapalapa) in Mexico City between September 2019 and December 2024… During the enrollment period, individuals with a positive rapid HCV test were invited to participate, including both people living with HIV and people with HCV monoinfection… Among individuals with a positive rapid HCV test, approximately 65% had detectable HCV RNA. Of those, about half had an HCV viral load &gt;1,000 copies/mL, which was the threshold required for successful amplification and inclusion in the present analysis…”</w:t>
      </w:r>
    </w:p>
    <w:p>
      <w:pPr>
        <w:spacing w:before="200" w:after="60"/>
      </w:pPr>
      <w:r>
        <w:rPr>
          <w:b/>
        </w:rPr>
        <w:t xml:space="preserve">Comment: </w:t>
      </w:r>
      <w:r>
        <w:rPr>
          <w:b/>
          <w:i w:val="0"/>
        </w:rPr>
        <w:t>(v) “following the protocol standardized and validated by the group of Chanson J. Brume et al.” should be changed to “following the protocol standardized and validated by the BC Centre for Excellence.”</w:t>
      </w:r>
    </w:p>
    <w:p>
      <w:pPr>
        <w:spacing w:after="80"/>
      </w:pPr>
      <w:r>
        <w:rPr>
          <w:b/>
        </w:rPr>
        <w:t xml:space="preserve">Response: </w:t>
      </w:r>
      <w:r>
        <w:t>We made the suggested wording change in the sequencing Methods section.</w:t>
      </w:r>
    </w:p>
    <w:p/>
    <w:p>
      <w:r>
        <w:rPr>
          <w:b/>
          <w:sz w:val="28"/>
        </w:rPr>
        <w:t>Reviewer 2</w:t>
      </w:r>
    </w:p>
    <w:p>
      <w:pPr>
        <w:spacing w:after="80"/>
      </w:pPr>
      <w:r>
        <w:t>“Weaver et al. describe an in-depth HCV molecular epidemiology pipeline… However, clarification is needed on numerous points… justification is lacking for many methodological choices… it is unclear why epidemiological characteristics were not incorporated.”</w:t>
      </w:r>
    </w:p>
    <w:p>
      <w:pPr>
        <w:spacing w:after="80"/>
      </w:pPr>
      <w:r>
        <w:rPr>
          <w:b/>
        </w:rPr>
        <w:t xml:space="preserve">Response: </w:t>
      </w:r>
      <w:r>
        <w:t>Our primary objective was to develop and evaluate a reproducible whole-genome bioinformatics and network-analysis pipeline for HCV, including assessment of clustering performance across genomic regions and thresholds. Accordingly, the current manuscript focuses on methodological development and comparison of clustering outputs rather than epidemiologic interpretation of individual clusters. We agree that incorporation of epidemiological characteristics would strengthen interpretation of the networks. At present, complete epidemiological data are not available for all sequenced samples, and we plan to integrate these data in future analyses.</w:t>
      </w:r>
    </w:p>
    <w:p>
      <w:r>
        <w:rPr>
          <w:b/>
        </w:rPr>
        <w:t>Abstract</w:t>
      </w:r>
    </w:p>
    <w:p>
      <w:pPr>
        <w:spacing w:before="200" w:after="60"/>
      </w:pPr>
      <w:r>
        <w:rPr>
          <w:b/>
        </w:rPr>
        <w:t xml:space="preserve">Comment: </w:t>
      </w:r>
      <w:r>
        <w:rPr>
          <w:b/>
          <w:i w:val="0"/>
        </w:rPr>
        <w:t>Clustering thresholds should include units.</w:t>
      </w:r>
    </w:p>
    <w:p>
      <w:pPr>
        <w:spacing w:after="80"/>
      </w:pPr>
      <w:r>
        <w:rPr>
          <w:b/>
        </w:rPr>
        <w:t xml:space="preserve">Response: </w:t>
      </w:r>
      <w:r>
        <w:t>Clustering (genetic-distance) thresholds are now reported in substitutions/site throughout the Abstract, Results, and Table 1, consistent with the TN93 maximum genetic distance already reported as 0.3 substitutions/site in the Methods. We also clarify that the consensus thresholds (0.01, 0.02, 0.05, 0.1, 0.2, and 0.25) are minor-variant frequency proportions applied during consensus generation, not genetic distances, and label them accordingly. Units were added to all clustering-threshold values in the Abstract, the relevant Results subsections, the Table 1 title, and the Figure 1 caption.</w:t>
      </w:r>
    </w:p>
    <w:p>
      <w:r>
        <w:rPr>
          <w:b/>
        </w:rPr>
        <w:t>Introduction</w:t>
      </w:r>
    </w:p>
    <w:p>
      <w:pPr>
        <w:spacing w:before="200" w:after="60"/>
      </w:pPr>
      <w:r>
        <w:rPr>
          <w:b/>
        </w:rPr>
        <w:t xml:space="preserve">Comment: </w:t>
      </w:r>
      <w:r>
        <w:rPr>
          <w:b/>
          <w:i w:val="0"/>
        </w:rPr>
        <w:t>Is the 2022 mortality statistic specific to Mexico? Also, how could a 2020 elimination program be a “response” to a 2022 mortality estimate? These sentences could use clarification.</w:t>
      </w:r>
    </w:p>
    <w:p>
      <w:pPr>
        <w:spacing w:after="80"/>
      </w:pPr>
      <w:r>
        <w:rPr>
          <w:b/>
        </w:rPr>
        <w:t xml:space="preserve">Response: </w:t>
      </w:r>
      <w:r>
        <w:t>We revised the paragraph to clarify that the 2022 mortality estimate refers specifically to Mexico and to avoid implying that the 2020 elimination program was launched in response to a later mortality estimate. The text now states that the program was launched in response to the burden of HCV infection in the country, with the 2022 mortality estimate presented separately as context.</w:t>
      </w:r>
    </w:p>
    <w:p>
      <w:pPr>
        <w:spacing w:before="200" w:after="60"/>
      </w:pPr>
      <w:r>
        <w:rPr>
          <w:b/>
        </w:rPr>
        <w:t xml:space="preserve">Comment: </w:t>
      </w:r>
      <w:r>
        <w:rPr>
          <w:b/>
          <w:i w:val="0"/>
        </w:rPr>
        <w:t>Why would reliance on symptomatic case recognition be problematic for HCV surveillance, given that HCV is screened by leveraging existing HIV surveillance? Among the HIV population, is screening still performed only for symptomatic cases?</w:t>
      </w:r>
    </w:p>
    <w:p>
      <w:pPr>
        <w:spacing w:after="80"/>
      </w:pPr>
      <w:r>
        <w:rPr>
          <w:b/>
        </w:rPr>
        <w:t xml:space="preserve">Response: </w:t>
      </w:r>
      <w:r>
        <w:t>We revised the introduction to clarify that HCV screening within HIV care is not symptom-based. Our intended point was that, at the population level, HCV transmission may still go undetected because many infections are asymptomatic and some key populations have inconsistent engagement in care. We now state that molecular epidemiology can complement routine screening by identifying genetically linked infections and helping prioritize targeted investigation.</w:t>
      </w:r>
    </w:p>
    <w:p>
      <w:pPr>
        <w:spacing w:after="120"/>
        <w:ind w:left="576"/>
      </w:pPr>
      <w:r>
        <w:rPr>
          <w:i/>
          <w:color w:val="444444"/>
        </w:rPr>
        <w:t xml:space="preserve">Added to Introduction: </w:t>
      </w:r>
      <w:r>
        <w:rPr>
          <w:i/>
          <w:color w:val="444444"/>
        </w:rPr>
        <w:t>“Although routine HCV screening is recommended for people living with HIV, many new infections still go undetected, particularly in key populations with limited or inconsistent engagement in care… Given that HCV infections are predominantly asymptomatic and hard to detect early, extensive transmission network expansion frequently precedes case recognition. In this context, molecular epidemiology can complement traditional case-based surveillance by identifying genetically linked infections, thereby helping prioritize clusters or groups for targeted investigation and intervention.”</w:t>
      </w:r>
    </w:p>
    <w:p>
      <w:pPr>
        <w:spacing w:before="200" w:after="60"/>
      </w:pPr>
      <w:r>
        <w:rPr>
          <w:b/>
        </w:rPr>
        <w:t xml:space="preserve">Comment: </w:t>
      </w:r>
      <w:r>
        <w:rPr>
          <w:b/>
          <w:i w:val="0"/>
        </w:rPr>
        <w:t>There are no references for “cluster detection relies on phylogenetic workflows that are computationally demanding and their interpretation requires personnel with advanced training.” Can you expand and add references? This is confusing given that you then offer a phylogenetic analysis stage in the pipeline.</w:t>
      </w:r>
    </w:p>
    <w:p>
      <w:pPr>
        <w:spacing w:after="80"/>
      </w:pPr>
      <w:r>
        <w:rPr>
          <w:b/>
        </w:rPr>
        <w:t xml:space="preserve">Response: </w:t>
      </w:r>
      <w:r>
        <w:t>In agreement with Reviewer 1, we revised the text to avoid framing distance-based methods as a critique of phylogenetic analysis. The introduction now presents distance-based network methods as a complementary strategy for surveillance, while retaining phylogenetic analysis as an optional downstream step. We also added supporting references (see the Introduction text quoted under Reviewer 1 (iv-a) above).</w:t>
      </w:r>
    </w:p>
    <w:p>
      <w:pPr>
        <w:spacing w:before="200" w:after="60"/>
      </w:pPr>
      <w:r>
        <w:rPr>
          <w:b/>
        </w:rPr>
        <w:t xml:space="preserve">Comment: </w:t>
      </w:r>
      <w:r>
        <w:rPr>
          <w:b/>
          <w:i w:val="0"/>
        </w:rPr>
        <w:t>The introduction states HCV's genetic heterogeneity complicates protocol development, yet this has been accomplished for HIV. Please clarify what makes HCV so difficult to analyze.</w:t>
      </w:r>
    </w:p>
    <w:p>
      <w:pPr>
        <w:spacing w:after="80"/>
      </w:pPr>
      <w:r>
        <w:rPr>
          <w:b/>
        </w:rPr>
        <w:t xml:space="preserve">Response: </w:t>
      </w:r>
      <w:r>
        <w:t>We expanded this section to clarify that HCV molecular analysis is complicated by marked genomic heterogeneity, variable performance across genomic regions, lack of standardized sequencing targets across prior studies, and the technical demands of whole-genome sequencing and quality control.</w:t>
      </w:r>
    </w:p>
    <w:p>
      <w:pPr>
        <w:spacing w:after="120"/>
        <w:ind w:left="576"/>
      </w:pPr>
      <w:r>
        <w:rPr>
          <w:i/>
          <w:color w:val="444444"/>
        </w:rPr>
        <w:t xml:space="preserve">Added to Introduction: </w:t>
      </w:r>
      <w:r>
        <w:rPr>
          <w:i/>
          <w:color w:val="444444"/>
        </w:rPr>
        <w:t>“The extensive genetic heterogeneity of HCV and its uneven evolutionary dynamics across the genome complicate the development of universal protocols for sequence processing, alignment, and clustering. Historically, HCV sequencing strategies have varied widely in amplicon design and target regions, limiting comparability across studies. This directly impacts clustering, since the specific genomic region analyzed can substantially influence both tree topology and inferred cluster structure. While whole-genome sequencing (WGS) data can mitigate these limitations, public health laboratories frequently lack standardized methods for processing HCV whole-genome sequences and conducting network analyses.”</w:t>
      </w:r>
    </w:p>
    <w:p>
      <w:pPr>
        <w:spacing w:before="200" w:after="60"/>
      </w:pPr>
      <w:r>
        <w:rPr>
          <w:b/>
        </w:rPr>
        <w:t xml:space="preserve">Comment: </w:t>
      </w:r>
      <w:r>
        <w:rPr>
          <w:b/>
          <w:i w:val="0"/>
        </w:rPr>
        <w:t>Why are whole genomes necessary, since single genes have been sufficiently informative for other viral molecular-epidemiology analyses? The answer becomes apparent later but should be addressed up front.</w:t>
      </w:r>
    </w:p>
    <w:p>
      <w:pPr>
        <w:spacing w:after="80"/>
      </w:pPr>
      <w:r>
        <w:rPr>
          <w:b/>
        </w:rPr>
        <w:t xml:space="preserve">Response: </w:t>
      </w:r>
      <w:r>
        <w:t>We added text (Introduction, and Discussion) explaining that although single-gene approaches can be informative, different HCV regions may produce different clustering results, whereas whole-genome data allow cross-region validation, more robust subtype assignment, and flexible selection of informative targets from a single assay.</w:t>
      </w:r>
    </w:p>
    <w:p>
      <w:r>
        <w:rPr>
          <w:b/>
        </w:rPr>
        <w:t>Methods</w:t>
      </w:r>
    </w:p>
    <w:p>
      <w:pPr>
        <w:spacing w:before="200" w:after="60"/>
      </w:pPr>
      <w:r>
        <w:rPr>
          <w:b/>
        </w:rPr>
        <w:t xml:space="preserve">Comment: </w:t>
      </w:r>
      <w:r>
        <w:rPr>
          <w:b/>
          <w:i w:val="0"/>
        </w:rPr>
        <w:t>It is not clear whether “individuals testing positive” refers to HIV or HCV testing.</w:t>
      </w:r>
    </w:p>
    <w:p>
      <w:pPr>
        <w:spacing w:after="80"/>
      </w:pPr>
      <w:r>
        <w:rPr>
          <w:b/>
        </w:rPr>
        <w:t xml:space="preserve">Response: </w:t>
      </w:r>
      <w:r>
        <w:t>We revised the study population section to clarify that “individuals testing positive” refers to a positive rapid HCV test, not HIV testing.</w:t>
      </w:r>
    </w:p>
    <w:p>
      <w:pPr>
        <w:spacing w:after="120"/>
        <w:ind w:left="576"/>
      </w:pPr>
      <w:r>
        <w:rPr>
          <w:i/>
          <w:color w:val="444444"/>
        </w:rPr>
        <w:t xml:space="preserve">Added to Methods: </w:t>
      </w:r>
      <w:r>
        <w:rPr>
          <w:i/>
          <w:color w:val="444444"/>
        </w:rPr>
        <w:t>“During the enrollment period, individuals with a positive rapid HCV test were invited to participate, including both people living with HIV and people with HCV monoinfection.”</w:t>
      </w:r>
    </w:p>
    <w:p>
      <w:pPr>
        <w:spacing w:before="200" w:after="60"/>
      </w:pPr>
      <w:r>
        <w:rPr>
          <w:b/>
        </w:rPr>
        <w:t xml:space="preserve">Comment: </w:t>
      </w:r>
      <w:r>
        <w:rPr>
          <w:b/>
          <w:i w:val="0"/>
        </w:rPr>
        <w:t>“Most participants were HCV treatment-naïve” — can an actual number be provided?</w:t>
      </w:r>
    </w:p>
    <w:p>
      <w:pPr>
        <w:spacing w:after="80"/>
      </w:pPr>
      <w:r>
        <w:rPr>
          <w:b/>
        </w:rPr>
        <w:t xml:space="preserve">Response: </w:t>
      </w:r>
      <w:r>
        <w:t>We revised the study population section to state that more than 90% had not received prior HCV treatment.</w:t>
      </w:r>
    </w:p>
    <w:p>
      <w:pPr>
        <w:spacing w:after="120"/>
        <w:ind w:left="576"/>
      </w:pPr>
      <w:r>
        <w:rPr>
          <w:i/>
          <w:color w:val="444444"/>
        </w:rPr>
        <w:t xml:space="preserve">Added to Methods: </w:t>
      </w:r>
      <w:r>
        <w:rPr>
          <w:i/>
          <w:color w:val="444444"/>
        </w:rPr>
        <w:t>“More than 90% of included participants were HCV treatment-naïve, reflecting the recent introduction of direct-acting antivirals (DAAs) into the Mexican healthcare system during the study period.”</w:t>
      </w:r>
    </w:p>
    <w:p>
      <w:pPr>
        <w:spacing w:before="200" w:after="60"/>
      </w:pPr>
      <w:r>
        <w:rPr>
          <w:b/>
        </w:rPr>
        <w:t xml:space="preserve">Comment: </w:t>
      </w:r>
      <w:r>
        <w:rPr>
          <w:b/>
          <w:i w:val="0"/>
        </w:rPr>
        <w:t>Why were individuals with viral load &lt;1000 copies/mL excluded? Is this relevant for genomic capture? Is this HCV or HIV viral load?</w:t>
      </w:r>
    </w:p>
    <w:p>
      <w:pPr>
        <w:spacing w:after="80"/>
      </w:pPr>
      <w:r>
        <w:rPr>
          <w:b/>
        </w:rPr>
        <w:t xml:space="preserve">Response: </w:t>
      </w:r>
      <w:r>
        <w:t>We clarified that the viral load threshold refers to HCV RNA and that samples with HCV viral load &lt;1,000 copies/mL were excluded because this was the minimum level required for successful near-whole-genome amplification.</w:t>
      </w:r>
    </w:p>
    <w:p>
      <w:pPr>
        <w:spacing w:after="120"/>
        <w:ind w:left="576"/>
      </w:pPr>
      <w:r>
        <w:rPr>
          <w:i/>
          <w:color w:val="444444"/>
        </w:rPr>
        <w:t xml:space="preserve">Added to Methods: </w:t>
      </w:r>
      <w:r>
        <w:rPr>
          <w:i/>
          <w:color w:val="444444"/>
        </w:rPr>
        <w:t>“Near-whole-genome HCV was amplified from samples with plasma viral load &gt;1,000 copies/mL, which was the minimum threshold for successful amplification, following the protocol standardized and validated by the British Columbia Centre for Excellence. Using this threshold, amplification success was approximately 98%. Below this threshold, success decreased substantially to 30–40%.”</w:t>
      </w:r>
    </w:p>
    <w:p>
      <w:pPr>
        <w:spacing w:before="200" w:after="60"/>
      </w:pPr>
      <w:r>
        <w:rPr>
          <w:b/>
        </w:rPr>
        <w:t xml:space="preserve">Comment: </w:t>
      </w:r>
      <w:r>
        <w:rPr>
          <w:b/>
          <w:i w:val="0"/>
        </w:rPr>
        <w:t>“WG and MiDi amplicons were then conducted” is poorly worded, since an amplicon is a product, not a method. Also, how can a mid-sized amplicon be amplified to produce a near-whole genome?</w:t>
      </w:r>
    </w:p>
    <w:p>
      <w:pPr>
        <w:spacing w:after="80"/>
      </w:pPr>
      <w:r>
        <w:rPr>
          <w:b/>
        </w:rPr>
        <w:t xml:space="preserve">Response: </w:t>
      </w:r>
      <w:r>
        <w:t>We agree and revised the wording for clarity. The protocol amplifies the HCV genome in two partially overlapping fragments sequenced in parallel: a near-whole-genome (WG) amplicon spanning from Core to NS5B codon 336, and a smaller MiDi amplicon spanning from NS5B codon 228 to the 3′ end of NS5B. The MiDi extends coverage across the distal portion of NS5B not fully captured by the WG amplicon. The two amplicons were processed separately until library pooling and then merged bioinformatically to generate a single near-whole-genome consensus.</w:t>
      </w:r>
    </w:p>
    <w:p>
      <w:pPr>
        <w:spacing w:before="200" w:after="60"/>
      </w:pPr>
      <w:r>
        <w:rPr>
          <w:b/>
        </w:rPr>
        <w:t xml:space="preserve">Comment: </w:t>
      </w:r>
      <w:r>
        <w:rPr>
          <w:b/>
          <w:i w:val="0"/>
        </w:rPr>
        <w:t>Since no contextual reference is listed, the authors need to expand on how genotype/subtype were determined.</w:t>
      </w:r>
    </w:p>
    <w:p>
      <w:pPr>
        <w:spacing w:after="80"/>
      </w:pPr>
      <w:r>
        <w:rPr>
          <w:b/>
        </w:rPr>
        <w:t xml:space="preserve">Response: </w:t>
      </w:r>
      <w:r>
        <w:t>We expanded this section. Genotype and subtype inference was performed using MiCall version 7.15.13. In the BC Centre for Excellence protocol, MiCall maps reads to a panel of HCV genotype/subtype references, iteratively builds sample-specific references, and performs genotype checks using Levenshtein distance to the Los Alamos HCV reference set. The genotype of the final assembled consensus is inferred using the shortest Levenshtein distance to the same reference panel.</w:t>
      </w:r>
    </w:p>
    <w:p>
      <w:pPr>
        <w:spacing w:before="200" w:after="60"/>
      </w:pPr>
      <w:r>
        <w:rPr>
          <w:b/>
        </w:rPr>
        <w:t xml:space="preserve">Comment: </w:t>
      </w:r>
      <w:r>
        <w:rPr>
          <w:b/>
          <w:i w:val="0"/>
        </w:rPr>
        <w:t>“Sequences were processed at multiple consensus thresholds… to explore the impact of within-host diversity on clustering patterns” — how were sequencing/PCR errors distinguished? Also, this section assesses consensus generation success, not within-host diversity effects on clustering.</w:t>
      </w:r>
    </w:p>
    <w:p>
      <w:pPr>
        <w:spacing w:after="80"/>
      </w:pPr>
      <w:r>
        <w:rPr>
          <w:b/>
        </w:rPr>
        <w:t xml:space="preserve">Response: </w:t>
      </w:r>
      <w:r>
        <w:t>We clarified this in the revised Methods and Results. Sequencing/PCR errors were handled through the MiCall pipeline, which applies strict quality control during consensus generation (mapping reads to references, iteratively reconstructing sample-specific references, discarding low-quality nucleotides during read merging, and excluding samples that fail quality criteria). We also agree the original wording was imprecise. The analysis focused on consensus generation success across thresholds rather than a formal evaluation of within-host diversity effects, and we revised the text accordingly: “Sequences were processed at multiple consensus thresholds to evaluate sequence recovery across thresholds and to compare downstream clustering outputs.”</w:t>
      </w:r>
    </w:p>
    <w:p>
      <w:pPr>
        <w:spacing w:before="200" w:after="60"/>
      </w:pPr>
      <w:r>
        <w:rPr>
          <w:b/>
        </w:rPr>
        <w:t xml:space="preserve">Comment: </w:t>
      </w:r>
      <w:r>
        <w:rPr>
          <w:b/>
          <w:i w:val="0"/>
        </w:rPr>
        <w:t>Why was the HIV_BETWEEN+F substitution model used here? I see no justification or model testing to support the use of this model.</w:t>
      </w:r>
    </w:p>
    <w:p>
      <w:pPr>
        <w:spacing w:after="80"/>
      </w:pPr>
      <w:r>
        <w:rPr>
          <w:b/>
        </w:rPr>
        <w:t xml:space="preserve">Response: </w:t>
      </w:r>
      <w:r>
        <w:t>HIV_BETWEEN_F is one of bealign's codon-aware alignment scoring matrices. It is used only to align each set of sequences to its reference and is not the evolutionary model used for clustering. The genetic distances that drive clustering are computed separately with the Tamura-Nei (TN93) model. Because this option governs alignment rather than distance estimation, formal substitution-model selection does not apply to it. To confirm that this choice does not influence our results, we re-aligned the genotype-1a NS5B set with an alternative protein scoring matrix (BLOSUM62) and recomputed distances: 94.6% of pairwise distances were identical, the two distance sets correlated at r = 0.98, and only 1 of 22,156 pairs (0.005%) changed edge status at the operative threshold, so the resulting network was unchanged (same clusters and sizes). We have added the HyPhy 2.5 reference and clarified in the Methods that HIV_BETWEEN_F is an alignment scoring matrix.</w:t>
      </w:r>
    </w:p>
    <w:p>
      <w:pPr>
        <w:spacing w:before="200" w:after="60"/>
      </w:pPr>
      <w:r>
        <w:rPr>
          <w:b/>
        </w:rPr>
        <w:t xml:space="preserve">Comment: </w:t>
      </w:r>
      <w:r>
        <w:rPr>
          <w:b/>
          <w:i w:val="0"/>
        </w:rPr>
        <w:t>Why was a maximum distance threshold of 0.3 subs/site chosen?</w:t>
      </w:r>
    </w:p>
    <w:p>
      <w:pPr>
        <w:spacing w:after="80"/>
      </w:pPr>
      <w:r>
        <w:rPr>
          <w:b/>
        </w:rPr>
        <w:t xml:space="preserve">Response: </w:t>
      </w:r>
      <w:r>
        <w:t>The 0.3 subs/site value is a maximum cutoff for the TN93 pairwise-distance computation, retained for efficiency so that uninformative large distances are not stored. It is far beyond any distance at which clusters form: across all 61 single-region networks, every network collapses to a single cluster by 0.066 subs/site at the latest, and the largest per-region AUTO-TUNE clustering threshold is 0.04571 subs/site. The 0.3 cutoff is therefore roughly five-fold above the point at which any cluster structure exists, so it discards only distances well outside the transmission-relevant range and does not affect cluster formation. We have clarified this in the Methods.</w:t>
      </w:r>
    </w:p>
    <w:p>
      <w:pPr>
        <w:spacing w:before="200" w:after="60"/>
      </w:pPr>
      <w:r>
        <w:rPr>
          <w:b/>
        </w:rPr>
        <w:t xml:space="preserve">Comment: </w:t>
      </w:r>
      <w:r>
        <w:rPr>
          <w:b/>
          <w:i w:val="0"/>
        </w:rPr>
        <w:t>Snakemake, Python, and SLURM should all be cited.</w:t>
      </w:r>
    </w:p>
    <w:p>
      <w:pPr>
        <w:spacing w:after="80"/>
      </w:pPr>
      <w:r>
        <w:rPr>
          <w:b/>
        </w:rPr>
        <w:t xml:space="preserve">Response: </w:t>
      </w:r>
      <w:r>
        <w:t>We have added citations for Snakemake, Python, and SLURM in the revised manuscript.</w:t>
      </w:r>
    </w:p>
    <w:p>
      <w:pPr>
        <w:spacing w:before="200" w:after="60"/>
      </w:pPr>
      <w:r>
        <w:rPr>
          <w:b/>
        </w:rPr>
        <w:t xml:space="preserve">Comment: </w:t>
      </w:r>
      <w:r>
        <w:rPr>
          <w:b/>
          <w:i w:val="0"/>
        </w:rPr>
        <w:t>It is not clear why the MiDi fragments were generated if they were just going to be merged with the WG data.</w:t>
      </w:r>
    </w:p>
    <w:p>
      <w:pPr>
        <w:spacing w:after="80"/>
      </w:pPr>
      <w:r>
        <w:rPr>
          <w:b/>
        </w:rPr>
        <w:t xml:space="preserve">Response: </w:t>
      </w:r>
      <w:r>
        <w:t>The MiDi amplicon was generated to extend NS5B coverage beyond codon 336, improve coverage reliability, and allow assessment of concordance in the overlapping region between the two amplicons. After sequencing, MiCall merges WG and MiDi data into a single near-full-genome consensus, resolving the overlapping region by retaining the data from the amplicon with greater coverage.</w:t>
      </w:r>
    </w:p>
    <w:p>
      <w:pPr>
        <w:spacing w:after="120"/>
        <w:ind w:left="576"/>
      </w:pPr>
      <w:r>
        <w:rPr>
          <w:i/>
          <w:color w:val="444444"/>
        </w:rPr>
        <w:t xml:space="preserve">Added to Methods: </w:t>
      </w:r>
      <w:r>
        <w:rPr>
          <w:i/>
          <w:color w:val="444444"/>
        </w:rPr>
        <w:t>“The MiDi amplicon was generated to extend sequence coverage beyond codon 336 of NS5B, improve coverage reliability, and allow concordance assessment within the overlapping region between amplicons. The WG and MiDi amplicons were amplified and processed separately under the same conditions described in the cited protocol, and were subsequently merged bioinformatically to generate a single near-whole-genome HCV sequence.”</w:t>
      </w:r>
    </w:p>
    <w:p>
      <w:r>
        <w:rPr>
          <w:b/>
        </w:rPr>
        <w:t>Results</w:t>
      </w:r>
    </w:p>
    <w:p>
      <w:pPr>
        <w:spacing w:before="200" w:after="60"/>
      </w:pPr>
      <w:r>
        <w:rPr>
          <w:b/>
        </w:rPr>
        <w:t xml:space="preserve">Comment: </w:t>
      </w:r>
      <w:r>
        <w:rPr>
          <w:b/>
          <w:i w:val="0"/>
        </w:rPr>
        <w:t>What is the significance of the merge quality and the differences in merge quality between genotypes?</w:t>
      </w:r>
    </w:p>
    <w:p>
      <w:pPr>
        <w:spacing w:after="80"/>
      </w:pPr>
      <w:r>
        <w:rPr>
          <w:b/>
        </w:rPr>
        <w:t xml:space="preserve">Response: </w:t>
      </w:r>
      <w:r>
        <w:t>The merge step resolves each WG–MiDi overlap position to the higher-coverage amplicon and calls 'N' where they disagree. Merge quality is uniformly high: the median overlap mismatch was about 1% (per-genotype 0.87–1.73%), and the median rate of true disagreements resolved to 'N' was about 0% in every genotype, so merging introduces no chimeric or artifactual sequence. The between-genotype differences reflect amplification and coverage efficiency rather than quality (for example, genotype 4d has roughly 40% shorter overlap than 1a, mean 274 vs. 440 bp), consistent with less efficient amplification of the more divergent 4d genomes. Merge quality does not affect clustering by construction, because 'N' positions are ignored by TN93 distances and so cannot create spurious network links. Per-genotype merge metrics are summarized in Supplementary Table 3.</w:t>
      </w:r>
    </w:p>
    <w:p>
      <w:pPr>
        <w:spacing w:before="200" w:after="60"/>
      </w:pPr>
      <w:r>
        <w:rPr>
          <w:b/>
        </w:rPr>
        <w:t xml:space="preserve">Comment: </w:t>
      </w:r>
      <w:r>
        <w:rPr>
          <w:b/>
          <w:i w:val="0"/>
        </w:rPr>
        <w:t>What is the significance of different thresholds across subtypes? What is the hypothesized explanation, and can it be explained by cluster-specific thresholds for other organisms?</w:t>
      </w:r>
    </w:p>
    <w:p>
      <w:pPr>
        <w:spacing w:after="80"/>
      </w:pPr>
      <w:r>
        <w:rPr>
          <w:b/>
        </w:rPr>
        <w:t xml:space="preserve">Response: </w:t>
      </w:r>
      <w:r>
        <w:t>The variation in optimal thresholds across subtypes and regions is expected. The threshold that best resolves transmission structure tracks the local genetic-diversity distribution, which differs by subtype (sampled diversity, epidemic age, founder effects, sampling density) and by region (evolutionary constraint). Some region-by-subtype combinations carry enough variability to resolve multiple balanced clusters. Others, such as conserved regions or under-sampled subtypes, lack sufficient diversity and collapse into a single dominant cluster at essentially any threshold. This can be read directly from the data via the AUTO-TUNE score, cluster count, R1/R2 ratio, and singleton prevalence. AUTO-TUNE similarly returns distinct optimal thresholds across HIV-1 subtypes on subtype-stratified LANL data (Weaver et al. 2024), and region-dependence of the optimal HCV threshold has been reported previously (Lamoury et al. 2015).</w:t>
      </w:r>
    </w:p>
    <w:p>
      <w:pPr>
        <w:spacing w:before="200" w:after="60"/>
      </w:pPr>
      <w:r>
        <w:rPr>
          <w:b/>
        </w:rPr>
        <w:t xml:space="preserve">Comment: </w:t>
      </w:r>
      <w:r>
        <w:rPr>
          <w:b/>
          <w:i w:val="0"/>
        </w:rPr>
        <w:t>Gene names should be italicized.</w:t>
      </w:r>
    </w:p>
    <w:p>
      <w:pPr>
        <w:spacing w:after="80"/>
      </w:pPr>
      <w:r>
        <w:rPr>
          <w:b/>
        </w:rPr>
        <w:t xml:space="preserve">Response: </w:t>
      </w:r>
      <w:r>
        <w:t>We have reviewed the manuscript and revised the formatting so that gene names are italicized throughout.</w:t>
      </w:r>
    </w:p>
    <w:p>
      <w:pPr>
        <w:spacing w:before="200" w:after="60"/>
      </w:pPr>
      <w:r>
        <w:rPr>
          <w:b/>
        </w:rPr>
        <w:t xml:space="preserve">Comment: </w:t>
      </w:r>
      <w:r>
        <w:rPr>
          <w:b/>
          <w:i w:val="0"/>
        </w:rPr>
        <w:t>I am unclear about the statement “with 221 sequences generating 2,380 region-specific sequences.” Can the authors clarify?</w:t>
      </w:r>
    </w:p>
    <w:p>
      <w:pPr>
        <w:spacing w:after="80"/>
      </w:pPr>
      <w:r>
        <w:rPr>
          <w:b/>
        </w:rPr>
        <w:t xml:space="preserve">Response: </w:t>
      </w:r>
      <w:r>
        <w:t>We apologise for the ambiguous wording and have reworded it. The 221 figure refers to unique genotype-1a individuals, and each individual was analysed across up to 12 genomic regions, so summing the per-region sequences across all individuals (with some regions missing for some individuals) yields approximately 2,380 region-specific sequences in total. This is a count of region-level analysis units, not 2,380 distinct patients or samples. We have revised the sentence to make this explicit and now report the per-region node counts alongside the summed total.</w:t>
      </w:r>
    </w:p>
    <w:p>
      <w:pPr>
        <w:spacing w:before="200" w:after="60"/>
      </w:pPr>
      <w:r>
        <w:rPr>
          <w:b/>
        </w:rPr>
        <w:t xml:space="preserve">Comment: </w:t>
      </w:r>
      <w:r>
        <w:rPr>
          <w:b/>
          <w:i w:val="0"/>
        </w:rPr>
        <w:t>Why weren't whole genomes also analyzed with clustering? Could different levels of diversity be overcome by using the whole genome, especially since genotype 4d was so inconsistent across regions?</w:t>
      </w:r>
    </w:p>
    <w:p>
      <w:pPr>
        <w:spacing w:after="80"/>
      </w:pPr>
      <w:r>
        <w:rPr>
          <w:b/>
        </w:rPr>
        <w:t xml:space="preserve">Response: </w:t>
      </w:r>
      <w:r>
        <w:t>Whole-genome sequences were run through the same clustering pipeline. We had de-emphasised the result because it is uninformative, and we now report it explicitly. At the AUTO-TUNE threshold the genotype-1a whole-genome network collapses into a single dominant cluster (199 of 210 networked sequences, about 95%), matching the behaviour of the conserved core region. The conserved bulk of the genome dominates pairwise whole-genome distances, so it cannot resolve transmission structure. On the reviewer's specific question of whether whole-genome data could overcome the weaker cross-region consistency for genotype 4d, our results indicate that it does not: using the whole genome dilutes rather than recovers the region-specific signal, so it does not rescue the 4d inconsistency any more than it improves resolution for 1a. This indicates that the choice of genomic region, rather than the amount of sequence used, drives informative HCV clustering. We now state this result and interpretation in the Results and Discussion.</w:t>
      </w:r>
    </w:p>
    <w:p>
      <w:pPr>
        <w:spacing w:before="200" w:after="60"/>
      </w:pPr>
      <w:r>
        <w:rPr>
          <w:b/>
        </w:rPr>
        <w:t xml:space="preserve">Comment: </w:t>
      </w:r>
      <w:r>
        <w:rPr>
          <w:b/>
          <w:i w:val="0"/>
        </w:rPr>
        <w:t>Why was NS5B chosen for network visualization and interpretation?</w:t>
      </w:r>
    </w:p>
    <w:p>
      <w:pPr>
        <w:spacing w:after="80"/>
      </w:pPr>
      <w:r>
        <w:rPr>
          <w:b/>
        </w:rPr>
        <w:t xml:space="preserve">Response: </w:t>
      </w:r>
      <w:r>
        <w:t>We selected NS5B for both practical and analytic reasons. NS5B possesses an optimal level of genetic heterogeneity that provides good resolution for molecular epidemiology, with a high rate of successful amplification and fine-grained subtyping accuracy (Murphy et al. 2007). It encodes the RNA-dependent RNA polymerase, the primary target of NS5B inhibitors, adding clinical relevance. Finally, global public health labs and databases rely heavily on NS5B sequencing, so using NS5B keeps our network models comparable with historical datasets and cohorts lacking complete WGS data.</w:t>
      </w:r>
    </w:p>
    <w:p>
      <w:pPr>
        <w:spacing w:after="120"/>
        <w:ind w:left="576"/>
      </w:pPr>
      <w:r>
        <w:rPr>
          <w:i/>
          <w:color w:val="444444"/>
        </w:rPr>
        <w:t xml:space="preserve">Added to manuscript: </w:t>
      </w:r>
      <w:r>
        <w:rPr>
          <w:i/>
          <w:color w:val="444444"/>
        </w:rPr>
        <w:t>“We selected NS5B for network visualization because it was consistently generated within the sequencing workflow, offers suitable genetic resolution for HCV subtyping and molecular epidemiology, is relevant to resistance-associated variation, and supports comparability with historical datasets based on NS5B sequencing.”</w:t>
      </w:r>
    </w:p>
    <w:p>
      <w:pPr>
        <w:spacing w:before="200" w:after="60"/>
      </w:pPr>
      <w:r>
        <w:rPr>
          <w:b/>
        </w:rPr>
        <w:t xml:space="preserve">Comment: </w:t>
      </w:r>
      <w:r>
        <w:rPr>
          <w:b/>
          <w:i w:val="0"/>
        </w:rPr>
        <w:t>It is not clear what the difference is between the comparison of regions using the Jaccard similarity index and the section using ARI, or why both were performed.</w:t>
      </w:r>
    </w:p>
    <w:p>
      <w:pPr>
        <w:spacing w:after="80"/>
      </w:pPr>
      <w:r>
        <w:rPr>
          <w:b/>
        </w:rPr>
        <w:t xml:space="preserve">Response: </w:t>
      </w:r>
      <w:r>
        <w:t>The two operate at different levels. The Adjusted Rand Index (ARI) compares whole-region partitions with one another: for each pair of genomic regions it quantifies whether they induce the same overall clustering, corrected for chance (reported in Table 4 and the region-pair values in the Results). The Jaccard similarity index is applied at the level of individual sequences, measuring how reproducibly a given sequence's cluster membership is recovered across regions (the per-node cross-region congruence used for the Figure 1 network, where ≥0.8 denotes high congruence). ARI therefore summarizes agreement between region-level clusterings, whereas Jaccard summarizes the stability of individual sequence assignments. We additionally report Krippendorff's α for networked/singleton reliability, and we have clarified in the Methods what each metric measures.</w:t>
      </w:r>
    </w:p>
    <w:p>
      <w:pPr>
        <w:spacing w:before="200" w:after="60"/>
      </w:pPr>
      <w:r>
        <w:rPr>
          <w:b/>
        </w:rPr>
        <w:t xml:space="preserve">Comment: </w:t>
      </w:r>
      <w:r>
        <w:rPr>
          <w:b/>
          <w:i w:val="0"/>
        </w:rPr>
        <w:t>What is the hypothesis for the lack of clustering consistency across regions for genotype 4d?</w:t>
      </w:r>
    </w:p>
    <w:p>
      <w:pPr>
        <w:spacing w:after="80"/>
      </w:pPr>
      <w:r>
        <w:rPr>
          <w:b/>
        </w:rPr>
        <w:t xml:space="preserve">Response: </w:t>
      </w:r>
      <w:r>
        <w:t>We present these as hypotheses rather than conclusions. Several non-exclusive factors are consistent with the weaker cross-region consistency for genotype 4d. First, the substantially smaller sample size (n=52 vs 211 for 1a) reduces statistical power and network stability. Second, the signal appears genuinely more region-dependent, with a lower ARI (0.089) and Krippendorff's α (0.361) than for genotype 1a. Third, there may be greater transmission-network fragmentation. Fourth, we did not confirm robustness to recombination for the 4d networks, and the GARD screen detected multiple 4d breakpoints. We now state these explicitly as candidate explanations and frame them as hypotheses requiring larger samples rather than established mechanisms.</w:t>
      </w:r>
    </w:p>
    <w:p>
      <w:r>
        <w:rPr>
          <w:b/>
        </w:rPr>
        <w:t>Discussion</w:t>
      </w:r>
    </w:p>
    <w:p>
      <w:pPr>
        <w:spacing w:before="200" w:after="60"/>
      </w:pPr>
      <w:r>
        <w:rPr>
          <w:b/>
        </w:rPr>
        <w:t xml:space="preserve">Comment: </w:t>
      </w:r>
      <w:r>
        <w:rPr>
          <w:b/>
          <w:i w:val="0"/>
        </w:rPr>
        <w:t>Some generalizations in the Discussion should be toned down, given the sub-optimal performance for genotype 4d. Sample size may play a role, but that is a hypothesis, and cluster-based epidemiologic inference may not be applicable to non-1a genotypes.</w:t>
      </w:r>
    </w:p>
    <w:p>
      <w:pPr>
        <w:spacing w:after="80"/>
      </w:pPr>
      <w:r>
        <w:rPr>
          <w:b/>
        </w:rPr>
        <w:t xml:space="preserve">Response: </w:t>
      </w:r>
      <w:r>
        <w:t>We agree and revised the Discussion to avoid overgeneralization. We toned down the operational recommendations, clarified that the strongest evidence comes from genotype 1a, and added explicit language noting that clustering performance and epidemiologic interpretation were less consistent for genotype 4d. We now state more cautiously that cluster-based epidemiologic inference may not be equally applicable across HCV genotypes and that further validation, particularly for non-1a genotypes, is needed.</w:t>
      </w:r>
    </w:p>
    <w:p>
      <w:pPr>
        <w:spacing w:after="120"/>
        <w:ind w:left="576"/>
      </w:pPr>
      <w:r>
        <w:rPr>
          <w:i/>
          <w:color w:val="444444"/>
        </w:rPr>
        <w:t xml:space="preserve">Added to Discussion / Limitations: </w:t>
      </w:r>
      <w:r>
        <w:rPr>
          <w:i/>
          <w:color w:val="444444"/>
        </w:rPr>
        <w:t>“For genotype 4d and other less represented genotypes, these recommendations should be interpreted more cautiously pending further validation… An additional limitation is that clustering results were less consistent for genotype 4d than for genotype 1a. Although this may partly reflect the smaller 4d sample size, our data do not allow us to determine whether the lower agreement is driven by sampling, genotype-specific evolutionary dynamics, or both. Accordingly, the cluster-based epidemiologic interpretation proposed here is best supported for genotype 1a and should be extended to non-1a genotypes with caution until validated in larger datasets.”</w:t>
      </w:r>
    </w:p>
    <w:p>
      <w:pPr>
        <w:spacing w:before="200" w:after="60"/>
      </w:pPr>
      <w:r>
        <w:rPr>
          <w:b/>
        </w:rPr>
        <w:t xml:space="preserve">Comment: </w:t>
      </w:r>
      <w:r>
        <w:rPr>
          <w:b/>
          <w:i w:val="0"/>
        </w:rPr>
        <w:t>DAA needs to be defined.</w:t>
      </w:r>
    </w:p>
    <w:p>
      <w:pPr>
        <w:spacing w:after="80"/>
      </w:pPr>
      <w:r>
        <w:rPr>
          <w:b/>
        </w:rPr>
        <w:t xml:space="preserve">Response: </w:t>
      </w:r>
      <w:r>
        <w:t>We have defined DAA at first mention in the revised manuscript as “direct-acting antiviral.”</w:t>
      </w:r>
    </w:p>
    <w:p>
      <w:pPr>
        <w:spacing w:before="200" w:after="60"/>
      </w:pPr>
      <w:r>
        <w:rPr>
          <w:b/>
        </w:rPr>
        <w:t xml:space="preserve">Comment: </w:t>
      </w:r>
      <w:r>
        <w:rPr>
          <w:b/>
          <w:i w:val="0"/>
        </w:rPr>
        <w:t>Was anything gained from this clustering approach regarding HCV evolution or molecular epidemiology, especially since another HCV clustering study was done globally?</w:t>
      </w:r>
    </w:p>
    <w:p>
      <w:pPr>
        <w:spacing w:after="80"/>
      </w:pPr>
      <w:r>
        <w:rPr>
          <w:b/>
        </w:rPr>
        <w:t xml:space="preserve">Response: </w:t>
      </w:r>
      <w:r>
        <w:t>Yes. This approach yielded several insights relevant to HCV molecular epidemiology, including substantial variation in clustering performance by genomic region and genotype, the ability to compare cluster consistency across regions using whole-genome data, and the use of AUTO-TUNE to derive reproducible, dataset-specific thresholds rather than relying on fixed distance cutoffs. Prior HCV clustering studies have generally been conducted at broader geographic scales. The contribution of the present work is a reproducible whole-genome processing and network-analysis framework and the evaluation of region-specific clustering performance.</w:t>
      </w:r>
    </w:p>
    <w:p>
      <w:pPr>
        <w:spacing w:after="120"/>
        <w:ind w:left="576"/>
      </w:pPr>
      <w:r>
        <w:rPr>
          <w:i/>
          <w:color w:val="444444"/>
        </w:rPr>
        <w:t xml:space="preserve">Added to Discussion: </w:t>
      </w:r>
      <w:r>
        <w:rPr>
          <w:i/>
          <w:color w:val="444444"/>
        </w:rPr>
        <w:t>“Together, these findings contribute to HCV molecular epidemiology by identifying informative genomic targets for clustering, evaluating cross-region consistency, and supporting derivation of dataset-specific thresholds for network inference… This study also introduces a reproducible pipeline for HCV whole-genome processing and network analysis that can be adapted to different study settings.”</w:t>
      </w:r>
    </w:p>
    <w:p/>
    <w:p>
      <w:pPr>
        <w:spacing w:after="120"/>
      </w:pPr>
      <w:r>
        <w:t>We again thank the reviewers and Editor for their time and constructive feedback, which have substantially improved the manuscript.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